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40 vom 22. September 2021</w:t>
      </w:r>
    </w:p>
    <w:p>
      <w:r>
        <w:t>VS Kantonsgericht, 2021-09-22, FR</w:t>
      </w:r>
    </w:p>
    <w:p>
      <w:r>
        <w:rPr>
          <w:b/>
        </w:rPr>
        <w:t xml:space="preserve">Quelle: </w:t>
      </w:r>
      <w:r>
        <w:t>https://mcp.opencaselaw.ch/entscheid/vs_gerichte_A1 21 40</w:t>
      </w:r>
    </w:p>
    <w:p>
      <w:r>
        <w:t>FR: VS_GERICHTE A1 21 40 du 22 septembre 2021</w:t>
      </w:r>
    </w:p>
    <w:p>
      <w:r>
        <w:t>IT: VS_GERICHTE A1 21 40 del 22 settembre 2021</w:t>
      </w:r>
    </w:p>
    <w:p>
      <w:pPr>
        <w:pStyle w:val="Heading2"/>
      </w:pPr>
      <w:r>
        <w:t>Regeste</w:t>
      </w:r>
    </w:p>
    <w:p>
      <w:r>
        <w:t>A1 21 40 JUGEMENT DU 22 SEPTEMBRE 2021 Tribunal cantonal du Valais Cour de droit public Composition : Christophe Joris, président ; Jean-Bernard Fournier et Thomas Brunner, juges ; Léna Jordan, greffière ad hoc ; en la cause Y_________, recourant, représenté par Maître M_________, avocat contre CONSEIL D'ETAT DU VALAIS, autorité attaquée et COMMUNE DE Z_________, autorité concernée, représentée par Maître N_________, avocat. (Emolument &amp; taxe) recours de droit administratif contre la décision du Conseil d’Etat du 3 février 2021</w:t>
      </w:r>
    </w:p>
    <w:p>
      <w:pPr>
        <w:pStyle w:val="Heading2"/>
      </w:pPr>
      <w:r>
        <w:t>Erwägungen</w:t>
      </w:r>
    </w:p>
    <w:p>
      <w:r>
        <w:rPr>
          <w:b/>
        </w:rPr>
        <w:t>E. 2</w:t>
      </w:r>
    </w:p>
    <w:p>
      <w:r>
        <w:t>avril 2020 consid. 5.1). L'avantage économique retiré par chaque bénéficiaire d'un service public est souvent difficile, voire impossible à déterminer en pratique. Pour cette raison, la jurisprudence admet un certain schématisme dans la détermination des taxes et de leur montant, afin d'éviter aux cantons des coûts administratifs démesurés pour évaluer le type et la quantité d'eau rejetée dans les canalisations (cf. ATF 137 I 257 consid. 6.1.1). La combinaison de taxes individuelles dépendant du volume et de taxes de bases fixes ou de plusieurs taxes différentes dépendant du volume sont autorisées (ATF 138 II 111 consid. 5.3.4 et les réf. citées). En matière d’impôt, les exigences sont strictes en ce qui concerne la base légale prévoyant son prélèvement. Il doit s’agir d’une loi au sens formel définissant au moins la qualité de contribuable, l’objet de l’impôt et son mode de calcul (art. 127 al. 1 Cst.). Cependant, en matière de redevances causales, on admet que les exigences découlant du principe de la légalité peuvent être moins strictes qu’en matière fiscale, car les principes de couverture des frais et de l’équivalence prémunissent suffisamment les administrés contre les excès de l’état lorsqu’ils s’appliquent (ATF 132 II 371 consid. 2.1). 4.3 L’art. 60a al. 1 LEaux prévoit que Les cantons veillent à ce que les coûts de construction, d’exploitation, d’entretien, d’assainissement et de remplacement des installations d’évacuation et d’épuration des eaux concourant à l’exécution de tâches publiques soient mis, par l’intermédiaire d’émoluments ou d’autres taxes, à la charge de ceux qui sont à l’origine de la production d’eaux usées. Le montant des taxes est fixé en</w:t>
      </w:r>
    </w:p>
    <w:p>
      <w:r>
        <w:t>- 10 - particulier en fonction: du type et de la quantité d’eaux usées produites (let. a); des amortissements nécessaires pour maintenir la valeur du capital de ces installations (let.b); des intérêts (let. c); des investissements planifiés pour l’entretien, l’assainissement et le remplacement de ces installations, pour leur adaptation à des exigences légales ou pour des améliorations relatives à leur exploitation (let. d). L’art. 60a LEaux constitue un mandat législatif à l’adresse des cantons, en ce sens que ceux-ci sont chargés de transposer les principes de financement posés dans cette disposition dans leur législation ou de déléguer cette tâche aux communes (ATF 128 I 46 consid. 1b/cc ; arrêt du Tribunal fédéral 2C_2018 du 28 juin 2018 consid. 3.1). Dans le canton du Valais, selon l’art. 17 al. 1 de la loi cantonale sur la protection des eaux du 16 mai 2013 (LcEaux ; RS/VS 814.3), les communes assurent l'autofinancement des coûts de construction, d'exploitation, d'entretien, d'assainissement et de remplacement des installations publiques d'évacuation et d'épuration des eaux par le biais de taxes causales fixées dans un règlement. Le montant des taxes est fixé selon une planification à long terme prenant également en considération les nouvelles charges financières prévisibles. Les communes utilisent à cet effet un compte à financement spécial. Une taxe unique peut être perçue lors du raccordement, respectivement en cas d’augmentation du volume des eaux à évacuer due une nouvelle construction ou une transformation (al. 2). La taxe d’utilisation est composée comme suit (al. 3) : d’une part, une partie de base correspondant aux coûts des infrastructures et qui est calculée selon un critère conforme au principe de causalité, tel que la surface du bien-fonds pondérée par le type de zone, la surface bâtie ou revêtue ou de construction brute, le volume de mètre cube SIA des bâtiments, le nombre de pièces-unités d'habitation ou le nombre d'unités de raccordement (let. a) et, d’autre part, une partie proportionnelle au type et à la quantité des eaux à évacuer couvrant les frais d'exploitation (let. b). Au niveau communal, les art. 38 et 39 REE concrétisent le principe des taxes sur les eaux à évacuer (art. 38 al. 1 REE), de même que leur mode de calcul (art. 39 REE). En particulier, l’art. 39 alinéa 1 prévoit expressément que la taxe annuelle d’utilisation est composée d’une partie de base (taxe de base) correspondant aux coûts des infrastructures (intérêts et amortissements des installations, administration, information, coûts fixes d’exploitation, etc.) et calculée par ménage en fonction du nombre de pièces- unités d’habitation recensées (let. a) ainsi que d'une partie proportionnelle au type et à la quantité des eaux polluées à épurer (taxe variable) couvrant les frais variables d’exploitation et calculée par ménage selon la composition du ménage. Pour les</w:t>
      </w:r>
    </w:p>
    <w:p>
      <w:r>
        <w:t>- 11 - personnes domiciliées, une personne équivaut à 1 UPM (unité par ménage). Pour les personnes non domiciliées, le nombre de pièces détermine l’UPM qui est multiplié par un coefficient de 0.3. La constitution du ménage est appliquée de la manière suivante : 1 à 2 pièces équivaut à 2 UPM ; 3 pièces équivaut à 4 UPM ; 4 pièces équivaut à 6 UPM,</w:t>
      </w:r>
    </w:p>
    <w:p>
      <w:r>
        <w:rPr>
          <w:b/>
        </w:rPr>
        <w:t>E. 5</w:t>
      </w:r>
    </w:p>
    <w:p>
      <w:r>
        <w:t>pièces équivaut à 8 UPM, 6 pièces et plus équivaut à 10 UPM (let. b). Enfin, l’art. 40 al. 1 REE prévoit expressément le cercle des débiteurs. Selon cet article, les taxes sont dues par le propriétaire de l’immeuble raccordé au réseau communal. Le propriétaire inscrit au registre foncier au 1er janvier de l’année de la taxation est responsable du paiement intégral des taxes (al. 1). 4.4 Les taxes de fourniture d’eau potable constituent en principe des contributions causales et plus particulièrement des taxes d’utilisation (arrêt du Tribunal fédéral 2C_768/2015 du 17 mars 2017 consid. 4.4). L’art. 7 al. 1 de l’ordonnance cantonale concernant les installations d’alimentation en eau potable du 21 décembre 2016 (RS/VS 817.101), prévoit que les communes garantissent, par la perception de taxes causales, l'autofinancement des frais pour l'étude, la construction, l'entretien, l'assainissement et le remplacement des infrastructures publiques pour l'approvisionnement en eau potable. La composition de ces dernières est fixées par l’al. 3 qui prévoit également qu’elles sont composées, d’une part, d’une partie de base pour la couverture des frais d’infrastructure établie sur le principe de la causalité en fonction de la surface de l'actif immobilier, de la surface bâtie, de la zone à bâtir brute, du volume de construction SIA (mètres cubes), du nombre de pièces disponibles par maison d'habitation ou du nombre de raccordements (let. a) et d’autre part, une partie proportionnelle à la quantité d’eau potable consommée (let. b). Au niveau communal, le REP prévoit des dispositions similaires à celle du REE pour les taxes sur l’eau potable. L’art. 36 REP fixe les principes de financement, l’art. 37 al. 1 prévoit la structure des taxes pour les particuliers, soit une taxe divisée en deux parties, l’une fixe et l’autre proportionnelle (let. a et b), l’art. 38 al. 1 REP fixe le cercle des contribuables, soit le propriétaire de l’immeuble raccordé au réseau communal, et l’art. 39 REP indique les modes de facturation et de paiement. Les deux règlements communaux ont été approuvés par le conseil municipal les 8 mai et 29 mai 2018 et adoptés par l’assemblée primaire le 11 juin 2018. Ils ont ensuite été homologués par le Conseil d’Etat, le 21 novembre 2018 pour le REP et le 28 novembre 2018 pour le REE.</w:t>
      </w:r>
    </w:p>
    <w:p>
      <w:r>
        <w:t>- 12 - 4.5 En l’espèce, les deux règlements dont se plaint le recourant fixent chacun de manière très claire la qualité de contribuable (art. 40 al. 1 REE et art. 38 al. 1 REP), l’objet de l’impôt (art. 38 al. 1 et 3 REE et art. 36 al. 1 et 3 REP) ainsi que son mode de calcul (art. 39 al. 1 REE et art. 37 al. 1 REP). Ces principes figurent dans des règlements approuvés par le conseil municipal, adoptés par l’assemblée primaire et homologués par le Conseil d’Etat. Le principe de la légalité est donc parfaitement respecté. Les principes de la couverture des frais et d’équivalence sont prévus à l’art. 60a LEaux et à l’art. 17 al. 1 LcEaux pour la taxe sur les eaux usées. Pour l’eau potable, ils sont mentionnés à l’art. 7 al. 1 de l’ordonnance cantonale concernant les installations d’alimentation en eau potable (cf. supra consid. 4.4) Ceux-ci sont également mentionnées une nouvelle fois dans chacun des deux règlements litigieux (art. 38 al. 1 et 3 REE et art. 36 al. 1 et 3 REP). Ces principes sont ainsi parfaitement respectés par la prévoyance d’une taxe comptant deux éléments : le premier étant fixe (taxe de base) et correspondant aux coûts des infrastructures et calculés par ménage en fonction du nombre de pièces-unités d’habitation recensée, le second étant proportionnel au type et la quantité d’eau polluée à épurer, respectivement à la quantité d’eau potable. Les deux parties de la taxe sont, par ailleurs, d’ores et déjà prévue par la loi cantonale, à l’art. 17 al. 2 LcEaux en ce qui concerne l’évacuation des eaux usées et à l’art. 7 al. 3 de l’ordonnance cantonale concernant les installations d’alimentation en eau potable pour cette dernière. Pour le surplus, il ne serait guère praticable de vérifier la quantité d’eau usée ou d’eau potable concrètement consommée du recourant, en relation avec le coût total des infrastructures de la Commune. Selon la jurisprudence précitée (cf. supra consid. 4.3), un certain schématisme dans la fixation des taxes est admissible, y compris une fixation sous la forme d’un montant forfaitaire unique par ménage ou logement. Force est ici de constater que les deux règlements litigieux appliquent à la lettre les dispositions et la jurisprudence précités. Ils respectent ainsi tant le principe de la légalité que ceux de l’équivalence et de la couverture des frais. Dès lors, le grief du recourant ne peut qu’être écarté.</w:t>
      </w:r>
    </w:p>
    <w:p>
      <w:r>
        <w:rPr>
          <w:b/>
        </w:rPr>
        <w:t>E. 5.1</w:t>
      </w:r>
    </w:p>
    <w:p>
      <w:r>
        <w:t>Dans un ultime grief, toujours sous l’angle de l’arbitraire, mais quant à l’application du droit, le recourant se plaint d’une violation de l’art. 2 al. 1 de l’ordonnance concernant la surface nette habitable (cf. supra consid. H). En effet, selon lui, c’est cette disposition qui doit s’appliquer pour qualifier une pièce d’habitable et non la directive communale.</w:t>
      </w:r>
    </w:p>
    <w:p>
      <w:r>
        <w:t>- 13 -</w:t>
      </w:r>
    </w:p>
    <w:p>
      <w:r>
        <w:rPr>
          <w:b/>
        </w:rPr>
        <w:t>E. 5.2</w:t>
      </w:r>
    </w:p>
    <w:p>
      <w:r>
        <w:t>Une décision est arbitraire (art. 9 Cst.) lorsqu’elle méconnaît gravement une règle de droit ou un principe clair et indiscuté ou qu’elle contredit de manière choquante le sentiment de la justice ou de l’équité (ATF 144 I 170 consid. 7.3). Dans le premier cas, il y a illégalité qualifiée ; la décision se révèle ainsi insoutenable, manifestement contraire aux dispositions légales qu’elle prétend appliquer. Arbitraire et violation de la loi ne sauraient donc être confondus ; une violation doit être manifeste et reconnue d’emblée pour être considérée comme arbitraire. Il ne suffit pas qu’une autre solution eût été possible, ni préférable. Il n’y a donc pas arbitraire du seul fait qu’une autre solution pourrait aussi se défendre et sembler même plus correcte. En revanche, une décision est arbitraire lorsqu’elle s’écarte du texte clair de la loi (ATAF 2009 / 57 consid. 4.1.3).</w:t>
      </w:r>
    </w:p>
    <w:p>
      <w:r>
        <w:rPr>
          <w:b/>
        </w:rPr>
        <w:t>E. 5.3</w:t>
      </w:r>
    </w:p>
    <w:p>
      <w:r>
        <w:t>L’art. 2 al. 1 de l’ordonnance concernant la surface nette habitable se fonde sur l’art. 48 de l’ordonnance relative à la loi fédérale encourageant la construction et l’accession à la propriété de logements du 30 novembre 1981 (OLCAP ; RS 843.1), qui se fonde elle-même sur la loi fédérale encourageant la construction et l’accession à la propriété de logement du 4 octobre 1974 (LCAP ; RS 843). Or, l’art. 2 al. 3 LCAP indique expressément que les résidences secondaires et les logements de vacances ne tombent pas sous le coup de la loi.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(arrêt du Tribunal fédéral 1C_423/2011 du 2 avril 2012, consid. 3.1). C’est le cas notamment en ce qui concerne les méthodes de calcul et les directives qu’elles souhaitent appliquer dans le cadre de la perception de taxes communales, pour autant que la question ne soit pas réglée par le droit supérieur (ACDP A1 20 10 précité, consid. 3.6 ;).</w:t>
      </w:r>
    </w:p>
    <w:p>
      <w:r>
        <w:rPr>
          <w:b/>
        </w:rPr>
        <w:t>E. 5.4</w:t>
      </w:r>
    </w:p>
    <w:p>
      <w:r>
        <w:t>En l’espèce, les dispositions fédérales invoquées par le recourant ne s’appliquent pas, compte tenu du fait que le mayen est une résidence secondaire ou un logement de vacances, au sens de l’art. 2 al. 3 LCAP. La Commune était donc parfaitement en droit d’appliquer une directive interne, étant donné que la notion de pièce habitable en ce qui concerne les résidences secondaires ou logement de vacances n’est pas définie par le droit fédéral, ni cantonal. Il convient également de souligner que, de manière totalement contradictoire, le recourant soutient, d’une part, que l’application de la directive communale relève de</w:t>
      </w:r>
    </w:p>
    <w:p>
      <w:r>
        <w:t>- 14 - l’arbitraire et d’autre part, il se prévaut de celle-ci et des exceptions prévues par son art. 4 al. 6 en estimant que la surface dévolue au corridor ne devrait pas être comptée comme pièce et que celle-ci mesure moins de 6 m2. Ce comportement n’est pas cohérent avec son argumentation, puisque ce faisant, le recourant lui-même reconnaît l’application de la directive. Enfin, la directive elle-même, à son article 7 alinéa 3, indique ce qui suit : « la surface d’une pièce est déterminée par la surface nette. Par surface nette, on entend la partie de la surface de plancher déterminée par l’enveloppe de l’immeuble et par les éléments intérieurs de la construction (par exemple, une armoire fixe et encastrée fait partie de la surface nette de la pièce) ». Dès lors, et contrairement à l’appréciation du recourant, il ressort de cet article et des exemples qui y sont mentionnés que l’espace dévolu à la cheminée ne doit pas être retranché dans le cadre du calcul de la surface de la pièce. Ainsi, sur la base du plan fourni par le recourant, on peut constater que la partie litigieuse du local, soit celle où sont installés les canapés, une table de salon, un tapis, une cheminée et une fenêtre, selon les photos figurant au dossier, a une surface supérieure à 6 m2. Partant, ce grief ne peut qu’être rejeté.</w:t>
      </w:r>
    </w:p>
    <w:p>
      <w:r>
        <w:rPr>
          <w:b/>
        </w:rPr>
        <w:t>E. 6</w:t>
      </w:r>
    </w:p>
    <w:p>
      <w:r>
        <w:t>Compte tenu de ce qui précède, le recours est rejeté (art. 80 al. 1 let. e et 60 al. 1 LPJA).</w:t>
      </w:r>
    </w:p>
    <w:p>
      <w:r>
        <w:rPr>
          <w:b/>
        </w:rPr>
        <w:t>E. 7</w:t>
      </w:r>
    </w:p>
    <w:p>
      <w:r>
        <w:t>Y_________ qui succombe, supportera un émolument de justice fixé, notamment au vu des principes de la couverture des frais et de l’équivalence des prestations, à 1500 fr. (art. 89 al. 1 LPJA ; art. 3 al. 3, 11, 13 al. 1 et 25 de la loi du 11 février 2009 sur le tarif des frais et dépens devant les autorités judiciaires ou administratives – LTar ; RS/VS 173.8). Il n’est pas alloué de dépens au Conseil d’Etat, ni à la Commune de Z_________, bien que cette dernière ait expressément conclu à leur allocation en sa faveur, car ils n'ont pas invoqué de circonstances particulières justifiant de déroger à la règle refusant les dépens aux autorités et organismes chargés de tâches de droit public qui obtiennent gain de cause (art. 91 al. 3 LPJA ; RVJ 1992 p. 75). Par ces motifs,</w:t>
      </w:r>
    </w:p>
    <w:p>
      <w:r>
        <w:t>- 15 -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